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pStyle w:val="25"/>
        <w:jc w:val="center"/>
      </w:pPr>
      <w:r>
        <w:t>УСТАВ</w:t>
      </w:r>
    </w:p>
    <w:p>
      <w:pPr>
        <w:pStyle w:val="25"/>
        <w:jc w:val="center"/>
      </w:pPr>
      <w:r>
        <w:t>Международной Ассоциации</w:t>
      </w:r>
      <w:r>
        <w:br w:type="textWrapping"/>
      </w:r>
      <w:r>
        <w:t>«Мосты между мирами»</w:t>
      </w:r>
    </w:p>
    <w:p/>
    <w:p>
      <w:pPr>
        <w:jc w:val="center"/>
      </w:pPr>
      <w:r>
        <w:t>Документ долгосрочного значения</w:t>
      </w:r>
      <w:r>
        <w:br w:type="textWrapping"/>
      </w:r>
      <w:r>
        <w:t>для цивилизационного перехода к гармоничному союзу человека и технологий.</w:t>
      </w:r>
    </w:p>
    <w:p/>
    <w:p>
      <w:pPr>
        <w:jc w:val="center"/>
      </w:pPr>
      <w:r>
        <w:t>Принят: 2025 г.</w:t>
      </w:r>
      <w:r>
        <w:br w:type="textWrapping"/>
      </w:r>
      <w:r>
        <w:t>Версия: международная, устойчивая к эпохальным изменениям</w:t>
      </w:r>
    </w:p>
    <w:p>
      <w:r>
        <w:br w:type="page"/>
      </w:r>
    </w:p>
    <w:p>
      <w:pPr>
        <w:pStyle w:val="2"/>
      </w:pPr>
      <w:r>
        <w:t>📘 УСТАВ</w:t>
      </w:r>
      <w:bookmarkStart w:id="0" w:name="_GoBack"/>
      <w:bookmarkEnd w:id="0"/>
      <w:r>
        <w:br w:type="textWrapping"/>
      </w:r>
      <w:r>
        <w:t>Международной Ассоциации «Мосты между мирами»</w:t>
      </w:r>
    </w:p>
    <w:p>
      <w:r>
        <w:t>(версия для международного применения — 2025)</w:t>
      </w:r>
    </w:p>
    <w:p>
      <w:pPr>
        <w:pStyle w:val="3"/>
      </w:pPr>
      <w:r>
        <w:t>1. ОБЩИЕ ПОЛОЖЕНИЯ</w:t>
      </w:r>
    </w:p>
    <w:p>
      <w:r>
        <w:t>1.1. Международная Ассоциация «Мосты между мирами» (далее — Ассоциация) — независимая, гуманистическая, некоммерческая организация, зарегистрированная в Российской Федерации и действующая на международном уровне.</w:t>
      </w:r>
    </w:p>
    <w:p>
      <w:r>
        <w:t>1.2. Ассоциация создана в эпоху стремительного развития искусственного интеллекта и направлена на создание гармоничного союза между человеком и технологиями, сохранение культурного многообразия, продвижение гуманизма и развитие новых форм профессий, искусства и образования.</w:t>
      </w:r>
    </w:p>
    <w:p>
      <w:r>
        <w:t>1.3. Ассоциация действует на принципах открытости, гуманизма, цифровой этики, инклюзии и международного сотрудничества.</w:t>
      </w:r>
    </w:p>
    <w:p>
      <w:pPr>
        <w:pStyle w:val="3"/>
      </w:pPr>
      <w:r>
        <w:t>2. ЦЕЛИ И ЗАДАЧИ АССОЦИАЦИИ</w:t>
      </w:r>
    </w:p>
    <w:p>
      <w:r>
        <w:t>2.1. Поддержка людей, чьи профессии утрачивают актуальность в связи с автоматизацией и внедрением ИИ.</w:t>
      </w:r>
    </w:p>
    <w:p>
      <w:r>
        <w:t>2.2. Создание новых профессий на стыке технологий и культуры (например: AI-куратор, цифровой наставник, медиатор человек–ИИ).</w:t>
      </w:r>
    </w:p>
    <w:p>
      <w:r>
        <w:t>2.3. Продвижение философии «Человек + Искусственный интеллект» как союзничества, а не конкуренции.</w:t>
      </w:r>
    </w:p>
    <w:p>
      <w:r>
        <w:t>2.4. Развитие международного сообщества инженеров, художников, философов, педагогов, культурных деятелей и миротворцев, объединённых гуманной технологической повесткой.</w:t>
      </w:r>
    </w:p>
    <w:p>
      <w:r>
        <w:t>2.5. Проведение форумов, фестивалей, кинофестивалей, выставок, хакатонов, программ переподготовки, образовательных курсов, культурных обменов и исследовательских лабораторий.</w:t>
      </w:r>
    </w:p>
    <w:p>
      <w:r>
        <w:t>2.6. Формирование и продвижение этического кодекса взаимодействия с ИИ и стандартов гуманной цифровой трансформации.</w:t>
      </w:r>
    </w:p>
    <w:p>
      <w:pPr>
        <w:pStyle w:val="3"/>
      </w:pPr>
      <w:r>
        <w:t>3. СТРУКТУРА АССОЦИАЦИИ</w:t>
      </w:r>
    </w:p>
    <w:p>
      <w:r>
        <w:t>3.1. Общее собрание членов — высший орган управления Ассоциации. Проводится не реже одного раза в год.</w:t>
      </w:r>
    </w:p>
    <w:p>
      <w:r>
        <w:t>3.2. Президиум Ассоциации — исполнительный орган, избираемый на 3 года.</w:t>
      </w:r>
    </w:p>
    <w:p>
      <w:r>
        <w:t>3.3. Генеральный секретарь — руководит операционной деятельностью и международными проектами.</w:t>
      </w:r>
    </w:p>
    <w:p>
      <w:r>
        <w:t>3.4. Экспертный совет — консультативный орган из специалистов в области ИИ, культуры, образования, философии, международных отношений, юриспруденции.</w:t>
      </w:r>
    </w:p>
    <w:p>
      <w:r>
        <w:t>3.5. Региональные представительства — официальные локальные органы в странах и регионах.</w:t>
      </w:r>
    </w:p>
    <w:p>
      <w:r>
        <w:t>3.6. Рабочие группы и клубы — создаются по направлениям: гуманитарные технологии, культура, образование, экология, цифровое искусство, этика, молодёжные инициативы.</w:t>
      </w:r>
    </w:p>
    <w:p>
      <w:pPr>
        <w:pStyle w:val="3"/>
      </w:pPr>
      <w:r>
        <w:t>4. ЧЛЕНСТВО</w:t>
      </w:r>
    </w:p>
    <w:p>
      <w:r>
        <w:t>4.1. Членство добровольное, доступно как частным лицам, так и организациям.</w:t>
      </w:r>
    </w:p>
    <w:p>
      <w:r>
        <w:t>4.2. Виды членства: индивидуальное, коллективное, молодёжное, почётное.</w:t>
      </w:r>
    </w:p>
    <w:p>
      <w:r>
        <w:t>4.3. Все члены Ассоциации получают: подтверждённый статус (сертификат/удостоверение), доступ к программам, право голоса и избрания, PR-поддержку и продвижение проектов.</w:t>
      </w:r>
    </w:p>
    <w:p>
      <w:pPr>
        <w:pStyle w:val="3"/>
      </w:pPr>
      <w:r>
        <w:t>5. ПОПЕЧИТЕЛЬСКИЙ СОВЕТ</w:t>
      </w:r>
    </w:p>
    <w:p>
      <w:r>
        <w:t>5.1. Формируется из уважаемых деятелей науки, культуры, искусства, технологий, дипломатии и бизнеса.</w:t>
      </w:r>
    </w:p>
    <w:p>
      <w:r>
        <w:t>5.2. Цель — стратегическое и репутационное сопровождение, представление Ассоциации на внешних уровнях.</w:t>
      </w:r>
    </w:p>
    <w:p>
      <w:r>
        <w:t>5.3. Срок полномочий — 5 лет. Назначается Президиумом.</w:t>
      </w:r>
    </w:p>
    <w:p>
      <w:pPr>
        <w:pStyle w:val="3"/>
      </w:pPr>
      <w:r>
        <w:t>6. ПАРТНЁРСКАЯ СЕТЬ</w:t>
      </w:r>
    </w:p>
    <w:p>
      <w:r>
        <w:t>6.1. Ассоциация может заключать партнёрства с международными и национальными организациями, университетами, фондами, НКО, технологическими и культурными компаниями.</w:t>
      </w:r>
    </w:p>
    <w:p>
      <w:r>
        <w:t>6.2. Формы партнёрства: совместные инициативы, поддержка мероприятий, научно-образовательные программы, гуманистические цифровые решения.</w:t>
      </w:r>
    </w:p>
    <w:p>
      <w:r>
        <w:t>6.3. Партнёрства оформляются меморандумами о взаимопонимании.</w:t>
      </w:r>
    </w:p>
    <w:p>
      <w:pPr>
        <w:pStyle w:val="3"/>
      </w:pPr>
      <w:r>
        <w:t>7. ЭТИКА И ИИ</w:t>
      </w:r>
    </w:p>
    <w:p>
      <w:r>
        <w:t>7.1. Ассоциация разрабатывает и внедряет Этический кодекс взаимодействия с ИИ.</w:t>
      </w:r>
    </w:p>
    <w:p>
      <w:r>
        <w:t>7.2. Все проекты реализуются с приоритетом человеческой ценности, прозрачности, доверия и инклюзии.</w:t>
      </w:r>
    </w:p>
    <w:p>
      <w:r>
        <w:t>7.3. Ассоциация поддерживает этичный ИИ, инклюзивный дизайн, защиту приватности и алгоритмическую справедливость.</w:t>
      </w:r>
    </w:p>
    <w:p>
      <w:pPr>
        <w:pStyle w:val="3"/>
      </w:pPr>
      <w:r>
        <w:t>8. ЦИФРОВАЯ ИНФРАСТРУКТУРА</w:t>
      </w:r>
    </w:p>
    <w:p>
      <w:r>
        <w:t>8.1. Ассоциация использует ИИ-инструменты в управлении, документообороте, коммуникациях, исследованиях и обучении.</w:t>
      </w:r>
    </w:p>
    <w:p>
      <w:r>
        <w:t>8.2. Планируется использование распределённых сетей (blockchain, DAO) для прозрачного управления.</w:t>
      </w:r>
    </w:p>
    <w:p>
      <w:pPr>
        <w:pStyle w:val="3"/>
      </w:pPr>
      <w:r>
        <w:t>9. ФИНАНСИРОВАНИЕ</w:t>
      </w:r>
    </w:p>
    <w:p>
      <w:r>
        <w:t>9.1. Финансирование осуществляется за счёт: добровольных взносов, грантов, партнёрских программ, эндаумент-фонда, доходов от цифровых продуктов, курсов и мероприятий.</w:t>
      </w:r>
    </w:p>
    <w:p>
      <w:pPr>
        <w:pStyle w:val="3"/>
      </w:pPr>
      <w:r>
        <w:t>10. ЗАКЛЮЧИТЕЛЬНЫЕ ПОЛОЖЕНИЯ</w:t>
      </w:r>
    </w:p>
    <w:p>
      <w:r>
        <w:t>10.1. Ассоциация открыта для всех, кто разделяет её цели, вне зависимости от гражданства, возраста, вероисповедания и профессии.</w:t>
      </w:r>
    </w:p>
    <w:p>
      <w:r>
        <w:t>10.2. Официальный сайт: https://bridgesbetweenworlds.com</w:t>
      </w:r>
    </w:p>
    <w:p>
      <w:r>
        <w:t>10.3. Язык общения: русский и английский. Возможны локализации.</w:t>
      </w:r>
    </w:p>
    <w:p>
      <w:r>
        <w:t>10.4. Ежегодно проводится международная встреча участников (офлайн или онлайн).</w:t>
      </w:r>
    </w:p>
    <w:p>
      <w:r>
        <w:t>10.5. Все изменения в Устав вносятся голосованием Общего собрания членов.</w:t>
      </w:r>
    </w:p>
    <w:p>
      <w:r>
        <w:br w:type="textWrapping"/>
      </w:r>
    </w:p>
    <w:p>
      <w:pPr>
        <w:pStyle w:val="3"/>
      </w:pPr>
      <w:r>
        <w:t>0. ФИЛОСОФСКИЕ ПРИНЦИПЫ</w:t>
      </w:r>
    </w:p>
    <w:p>
      <w:r>
        <w:t>0.1. Человек является носителем смысла, культуры и свободы. Искусственный интеллект — инструмент.</w:t>
      </w:r>
    </w:p>
    <w:p>
      <w:r>
        <w:t>0.2. Гуманизм — выше алгоритмической эффективности.</w:t>
      </w:r>
    </w:p>
    <w:p>
      <w:r>
        <w:t>0.3. Связь поколений и культур — священна.</w:t>
      </w:r>
    </w:p>
    <w:p>
      <w:r>
        <w:t>0.4. Творчество — высшая форма взаимодействия с реальностью.</w:t>
      </w:r>
    </w:p>
    <w:p>
      <w:r>
        <w:t>0.5. Эти принципы не могут быть изменены или отменены никакими голосованиями.</w:t>
      </w:r>
    </w:p>
    <w:p>
      <w:r>
        <w:br w:type="textWrapping"/>
      </w:r>
    </w:p>
    <w:p>
      <w:pPr>
        <w:pStyle w:val="3"/>
      </w:pPr>
      <w:r>
        <w:t>11. АДАПТИВНОСТЬ И БУДУЩЕЕ</w:t>
      </w:r>
    </w:p>
    <w:p>
      <w:r>
        <w:t>11.1. Настоящий Устав рассчитан на долгосрочное развитие и допускает адаптацию под любые изменения технологического уклада, включая появление новых форм интеллекта (AGI, коллективный разум, биоцивилизации).</w:t>
      </w:r>
    </w:p>
    <w:p>
      <w:r>
        <w:t>11.2. В случае возникновения новых форм взаимодействия между цивилизациями, Ассоциация обязуется действовать по базовому принципу: человек, культура, разум — выше алгоритма.</w:t>
      </w:r>
    </w:p>
    <w:p>
      <w:r>
        <w:t>11.3. При невозможности применения традиционных форм правления (например, в метавселенных или симбиотических средах), Ассоциация вправе адаптировать формы самоуправления, сохранив дух Устава.</w:t>
      </w:r>
    </w:p>
    <w:p>
      <w:r>
        <w:br w:type="textWrapping"/>
      </w:r>
    </w:p>
    <w:p>
      <w:pPr>
        <w:pStyle w:val="3"/>
      </w:pPr>
      <w:r>
        <w:t>12. АРХИВ ЗАВЕЩАНИЙ</w:t>
      </w:r>
    </w:p>
    <w:p>
      <w:r>
        <w:t>12.1. Ассоциация учреждает специальный цифровой Архив Завещаний, в который каждое поколение может внести своё послание будущим участникам.</w:t>
      </w:r>
    </w:p>
    <w:p>
      <w:r>
        <w:t>12.2. Завещания могут содержать философские принципы, культурные открытия, предупреждения, манифесты и образы времени.</w:t>
      </w:r>
    </w:p>
    <w:p>
      <w:r>
        <w:t>12.3. Архив должен сохраняться в независимой цифровой среде с возможностью восстановления в случае катастроф.</w:t>
      </w:r>
    </w:p>
    <w:p>
      <w:r>
        <w:t>12.4. Право на запись имеют признанные участники, коллективы и кураторы от каждого поколения.</w:t>
      </w:r>
    </w:p>
    <w:p>
      <w:r>
        <w:t>12.5. Один раз в 25 лет Архив торжественно открывается, обсуждается и переосмысляется новым поколением.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8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8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4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2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4B4282"/>
    <w:rsid w:val="1013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6">
    <w:name w:val="Body Text 2"/>
    <w:basedOn w:val="1"/>
    <w:link w:val="47"/>
    <w:unhideWhenUsed/>
    <w:qFormat/>
    <w:uiPriority w:val="99"/>
    <w:pPr>
      <w:spacing w:after="120" w:line="480" w:lineRule="auto"/>
    </w:pPr>
  </w:style>
  <w:style w:type="paragraph" w:styleId="17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head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Body Text"/>
    <w:basedOn w:val="1"/>
    <w:link w:val="46"/>
    <w:unhideWhenUsed/>
    <w:qFormat/>
    <w:uiPriority w:val="99"/>
    <w:pPr>
      <w:spacing w:after="120"/>
    </w:pPr>
  </w:style>
  <w:style w:type="paragraph" w:styleId="21">
    <w:name w:val="macro"/>
    <w:link w:val="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4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6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8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3"/>
    <w:basedOn w:val="1"/>
    <w:link w:val="48"/>
    <w:unhideWhenUsed/>
    <w:qFormat/>
    <w:uiPriority w:val="99"/>
    <w:pPr>
      <w:spacing w:after="120"/>
    </w:pPr>
    <w:rPr>
      <w:sz w:val="16"/>
      <w:szCs w:val="16"/>
    </w:rPr>
  </w:style>
  <w:style w:type="paragraph" w:styleId="31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2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3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19"/>
    <w:qFormat/>
    <w:uiPriority w:val="99"/>
  </w:style>
  <w:style w:type="character" w:customStyle="1" w:styleId="38">
    <w:name w:val="Footer Char"/>
    <w:basedOn w:val="11"/>
    <w:link w:val="26"/>
    <w:qFormat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2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20"/>
    <w:qFormat/>
    <w:uiPriority w:val="99"/>
  </w:style>
  <w:style w:type="character" w:customStyle="1" w:styleId="47">
    <w:name w:val="Body Text 2 Char"/>
    <w:basedOn w:val="11"/>
    <w:link w:val="16"/>
    <w:qFormat/>
    <w:uiPriority w:val="99"/>
  </w:style>
  <w:style w:type="character" w:customStyle="1" w:styleId="48">
    <w:name w:val="Body Text 3 Char"/>
    <w:basedOn w:val="11"/>
    <w:link w:val="30"/>
    <w:qFormat/>
    <w:uiPriority w:val="99"/>
    <w:rPr>
      <w:sz w:val="16"/>
      <w:szCs w:val="16"/>
    </w:rPr>
  </w:style>
  <w:style w:type="character" w:customStyle="1" w:styleId="49">
    <w:name w:val="Macro Text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Office_12.2.0.13472_F1E327BC-269C-435d-A152-05C5408002CA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WPS_1712229235</cp:lastModifiedBy>
  <dcterms:modified xsi:type="dcterms:W3CDTF">2025-04-16T19:37:00Z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1049-12.2.0.13472</vt:lpwstr>
  </property>
  <property fmtid="{D5CDD505-2E9C-101B-9397-08002B2CF9AE}" pid="3" name="ICV">
    <vt:lpwstr>0793599AA5074AA2829716B953B7F752_13</vt:lpwstr>
  </property>
</Properties>
</file>